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B18B" w14:textId="77777777" w:rsidR="00707E53" w:rsidRPr="00862601" w:rsidRDefault="00F8364B" w:rsidP="00FF32D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bookmarkStart w:id="0" w:name="_GoBack"/>
      <w:bookmarkEnd w:id="0"/>
      <w:r w:rsidRPr="00862601">
        <w:rPr>
          <w:spacing w:val="-4"/>
        </w:rPr>
        <w:t>The community services industry is experiencing significant changes that require new ways of doing business, new approaches to designing, financing and providing services, and a strong workforce with the diverse range of jobs and skills needed to deliver these innovations</w:t>
      </w:r>
      <w:r w:rsidR="009C2983" w:rsidRPr="00862601">
        <w:rPr>
          <w:spacing w:val="-4"/>
        </w:rPr>
        <w:t>.</w:t>
      </w:r>
    </w:p>
    <w:p w14:paraId="1E7003F4" w14:textId="77777777" w:rsidR="00707E53" w:rsidRPr="00862601" w:rsidRDefault="009C2983" w:rsidP="00FF32D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862601">
        <w:rPr>
          <w:spacing w:val="-3"/>
        </w:rPr>
        <w:t xml:space="preserve">The Queensland </w:t>
      </w:r>
      <w:r w:rsidRPr="00862601">
        <w:rPr>
          <w:spacing w:val="-4"/>
        </w:rPr>
        <w:t xml:space="preserve">Government </w:t>
      </w:r>
      <w:r w:rsidRPr="00862601">
        <w:rPr>
          <w:spacing w:val="-3"/>
        </w:rPr>
        <w:t xml:space="preserve">has made </w:t>
      </w:r>
      <w:r w:rsidRPr="00862601">
        <w:t xml:space="preserve">it a </w:t>
      </w:r>
      <w:r w:rsidRPr="00862601">
        <w:rPr>
          <w:spacing w:val="-3"/>
        </w:rPr>
        <w:t xml:space="preserve">priority </w:t>
      </w:r>
      <w:r w:rsidRPr="00862601">
        <w:t xml:space="preserve">to </w:t>
      </w:r>
      <w:r w:rsidRPr="00862601">
        <w:rPr>
          <w:spacing w:val="-3"/>
        </w:rPr>
        <w:t xml:space="preserve">work with </w:t>
      </w:r>
      <w:r w:rsidRPr="00862601">
        <w:rPr>
          <w:spacing w:val="-4"/>
        </w:rPr>
        <w:t xml:space="preserve">stakeholders </w:t>
      </w:r>
      <w:r w:rsidRPr="00862601">
        <w:t xml:space="preserve">to </w:t>
      </w:r>
      <w:r w:rsidRPr="00862601">
        <w:rPr>
          <w:spacing w:val="-3"/>
        </w:rPr>
        <w:t xml:space="preserve">rebuild </w:t>
      </w:r>
      <w:r w:rsidRPr="00862601">
        <w:rPr>
          <w:spacing w:val="-4"/>
        </w:rPr>
        <w:t xml:space="preserve">Queensland’s community </w:t>
      </w:r>
      <w:r w:rsidRPr="00862601">
        <w:rPr>
          <w:spacing w:val="-3"/>
        </w:rPr>
        <w:t xml:space="preserve">services </w:t>
      </w:r>
      <w:r w:rsidRPr="00862601">
        <w:rPr>
          <w:spacing w:val="-4"/>
        </w:rPr>
        <w:t xml:space="preserve">sector </w:t>
      </w:r>
      <w:r w:rsidRPr="00862601">
        <w:rPr>
          <w:spacing w:val="-3"/>
        </w:rPr>
        <w:t xml:space="preserve">through </w:t>
      </w:r>
      <w:r w:rsidRPr="00862601">
        <w:rPr>
          <w:spacing w:val="-4"/>
        </w:rPr>
        <w:t xml:space="preserve">consultation </w:t>
      </w:r>
      <w:r w:rsidRPr="00862601">
        <w:rPr>
          <w:spacing w:val="-3"/>
        </w:rPr>
        <w:t xml:space="preserve">with </w:t>
      </w:r>
      <w:r w:rsidRPr="00862601">
        <w:rPr>
          <w:spacing w:val="-4"/>
        </w:rPr>
        <w:t xml:space="preserve">organisations </w:t>
      </w:r>
      <w:r w:rsidR="00641AFA" w:rsidRPr="00862601">
        <w:rPr>
          <w:spacing w:val="-3"/>
        </w:rPr>
        <w:t>such as</w:t>
      </w:r>
      <w:r w:rsidRPr="00862601">
        <w:rPr>
          <w:spacing w:val="-3"/>
        </w:rPr>
        <w:t xml:space="preserve"> </w:t>
      </w:r>
      <w:r w:rsidRPr="00862601">
        <w:rPr>
          <w:spacing w:val="-4"/>
        </w:rPr>
        <w:t xml:space="preserve">the </w:t>
      </w:r>
      <w:r w:rsidRPr="00862601">
        <w:rPr>
          <w:spacing w:val="-3"/>
        </w:rPr>
        <w:t>Community</w:t>
      </w:r>
      <w:r w:rsidRPr="00862601">
        <w:rPr>
          <w:spacing w:val="-17"/>
        </w:rPr>
        <w:t xml:space="preserve"> </w:t>
      </w:r>
      <w:r w:rsidRPr="00862601">
        <w:rPr>
          <w:spacing w:val="-4"/>
        </w:rPr>
        <w:t>Services</w:t>
      </w:r>
      <w:r w:rsidRPr="00862601">
        <w:rPr>
          <w:spacing w:val="-17"/>
        </w:rPr>
        <w:t xml:space="preserve"> </w:t>
      </w:r>
      <w:r w:rsidRPr="00862601">
        <w:rPr>
          <w:spacing w:val="-3"/>
        </w:rPr>
        <w:t>Industry</w:t>
      </w:r>
      <w:r w:rsidRPr="00862601">
        <w:rPr>
          <w:spacing w:val="-19"/>
        </w:rPr>
        <w:t xml:space="preserve"> </w:t>
      </w:r>
      <w:r w:rsidRPr="00862601">
        <w:rPr>
          <w:spacing w:val="-3"/>
        </w:rPr>
        <w:t>Alliance</w:t>
      </w:r>
      <w:r w:rsidRPr="00862601">
        <w:rPr>
          <w:spacing w:val="-19"/>
        </w:rPr>
        <w:t xml:space="preserve"> </w:t>
      </w:r>
      <w:r w:rsidRPr="00862601">
        <w:rPr>
          <w:spacing w:val="-3"/>
        </w:rPr>
        <w:t>(CSIA)</w:t>
      </w:r>
      <w:r w:rsidRPr="00862601">
        <w:rPr>
          <w:spacing w:val="-18"/>
        </w:rPr>
        <w:t xml:space="preserve"> </w:t>
      </w:r>
      <w:r w:rsidRPr="00862601">
        <w:rPr>
          <w:spacing w:val="-3"/>
        </w:rPr>
        <w:t>and</w:t>
      </w:r>
      <w:r w:rsidRPr="00862601">
        <w:rPr>
          <w:spacing w:val="-18"/>
        </w:rPr>
        <w:t xml:space="preserve"> </w:t>
      </w:r>
      <w:r w:rsidRPr="00862601">
        <w:rPr>
          <w:spacing w:val="-3"/>
        </w:rPr>
        <w:t>the</w:t>
      </w:r>
      <w:r w:rsidRPr="00862601">
        <w:rPr>
          <w:spacing w:val="-19"/>
        </w:rPr>
        <w:t xml:space="preserve"> </w:t>
      </w:r>
      <w:r w:rsidRPr="00862601">
        <w:rPr>
          <w:spacing w:val="-3"/>
        </w:rPr>
        <w:t>service</w:t>
      </w:r>
      <w:r w:rsidRPr="00862601">
        <w:rPr>
          <w:spacing w:val="-17"/>
        </w:rPr>
        <w:t xml:space="preserve"> </w:t>
      </w:r>
      <w:r w:rsidRPr="00862601">
        <w:rPr>
          <w:spacing w:val="-4"/>
        </w:rPr>
        <w:t>providers</w:t>
      </w:r>
      <w:r w:rsidRPr="00862601">
        <w:rPr>
          <w:spacing w:val="-18"/>
        </w:rPr>
        <w:t xml:space="preserve"> </w:t>
      </w:r>
      <w:r w:rsidRPr="00862601">
        <w:t>it</w:t>
      </w:r>
      <w:r w:rsidRPr="00862601">
        <w:rPr>
          <w:spacing w:val="-19"/>
        </w:rPr>
        <w:t xml:space="preserve"> </w:t>
      </w:r>
      <w:r w:rsidRPr="00862601">
        <w:rPr>
          <w:spacing w:val="-4"/>
        </w:rPr>
        <w:t>represents</w:t>
      </w:r>
      <w:r w:rsidRPr="00862601">
        <w:rPr>
          <w:spacing w:val="-19"/>
        </w:rPr>
        <w:t xml:space="preserve"> </w:t>
      </w:r>
      <w:r w:rsidRPr="00862601">
        <w:t>and</w:t>
      </w:r>
      <w:r w:rsidRPr="00862601">
        <w:rPr>
          <w:spacing w:val="-19"/>
        </w:rPr>
        <w:t xml:space="preserve"> </w:t>
      </w:r>
      <w:r w:rsidRPr="00862601">
        <w:t>to</w:t>
      </w:r>
      <w:r w:rsidRPr="00862601">
        <w:rPr>
          <w:spacing w:val="-18"/>
        </w:rPr>
        <w:t xml:space="preserve"> </w:t>
      </w:r>
      <w:r w:rsidRPr="00862601">
        <w:rPr>
          <w:spacing w:val="-4"/>
        </w:rPr>
        <w:t xml:space="preserve">grow workforce </w:t>
      </w:r>
      <w:r w:rsidRPr="00862601">
        <w:rPr>
          <w:spacing w:val="-3"/>
        </w:rPr>
        <w:t>and industry capacity and</w:t>
      </w:r>
      <w:r w:rsidRPr="00862601">
        <w:rPr>
          <w:spacing w:val="-14"/>
        </w:rPr>
        <w:t xml:space="preserve"> </w:t>
      </w:r>
      <w:r w:rsidRPr="00862601">
        <w:rPr>
          <w:spacing w:val="-3"/>
        </w:rPr>
        <w:t>capability.</w:t>
      </w:r>
    </w:p>
    <w:p w14:paraId="4A547531" w14:textId="77777777" w:rsidR="00707E53" w:rsidRPr="00862601" w:rsidRDefault="009C2983" w:rsidP="00FF32D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862601">
        <w:rPr>
          <w:i/>
          <w:spacing w:val="-4"/>
        </w:rPr>
        <w:t xml:space="preserve">Partnering </w:t>
      </w:r>
      <w:r w:rsidRPr="00862601">
        <w:rPr>
          <w:i/>
          <w:spacing w:val="-3"/>
        </w:rPr>
        <w:t xml:space="preserve">for the </w:t>
      </w:r>
      <w:r w:rsidRPr="00862601">
        <w:rPr>
          <w:i/>
          <w:spacing w:val="-4"/>
        </w:rPr>
        <w:t xml:space="preserve">future: </w:t>
      </w:r>
      <w:r w:rsidRPr="00862601">
        <w:rPr>
          <w:i/>
          <w:spacing w:val="-3"/>
        </w:rPr>
        <w:t xml:space="preserve">Advancing </w:t>
      </w:r>
      <w:r w:rsidRPr="00862601">
        <w:rPr>
          <w:i/>
          <w:spacing w:val="-4"/>
        </w:rPr>
        <w:t xml:space="preserve">Queensland’s </w:t>
      </w:r>
      <w:r w:rsidRPr="00862601">
        <w:rPr>
          <w:i/>
          <w:spacing w:val="-3"/>
        </w:rPr>
        <w:t xml:space="preserve">community services </w:t>
      </w:r>
      <w:r w:rsidRPr="00862601">
        <w:rPr>
          <w:i/>
          <w:spacing w:val="-4"/>
        </w:rPr>
        <w:t>industry 2017-25</w:t>
      </w:r>
      <w:r w:rsidRPr="00862601">
        <w:rPr>
          <w:i/>
          <w:spacing w:val="53"/>
        </w:rPr>
        <w:t xml:space="preserve"> </w:t>
      </w:r>
      <w:r w:rsidR="00C61D57" w:rsidRPr="00862601">
        <w:t>(Strategy)</w:t>
      </w:r>
      <w:r w:rsidR="00C61D57" w:rsidRPr="00862601">
        <w:rPr>
          <w:spacing w:val="53"/>
        </w:rPr>
        <w:t xml:space="preserve"> </w:t>
      </w:r>
      <w:r w:rsidRPr="00862601">
        <w:rPr>
          <w:spacing w:val="-4"/>
        </w:rPr>
        <w:t xml:space="preserve">provides </w:t>
      </w:r>
      <w:r w:rsidRPr="00862601">
        <w:t xml:space="preserve">a </w:t>
      </w:r>
      <w:r w:rsidRPr="00862601">
        <w:rPr>
          <w:spacing w:val="-3"/>
        </w:rPr>
        <w:t xml:space="preserve">timely </w:t>
      </w:r>
      <w:r w:rsidRPr="00862601">
        <w:rPr>
          <w:spacing w:val="-4"/>
        </w:rPr>
        <w:t xml:space="preserve">opportunity </w:t>
      </w:r>
      <w:r w:rsidRPr="00862601">
        <w:t xml:space="preserve">to </w:t>
      </w:r>
      <w:r w:rsidRPr="00862601">
        <w:rPr>
          <w:spacing w:val="-4"/>
        </w:rPr>
        <w:t xml:space="preserve">partner </w:t>
      </w:r>
      <w:r w:rsidRPr="00862601">
        <w:rPr>
          <w:spacing w:val="-3"/>
        </w:rPr>
        <w:t xml:space="preserve">with the </w:t>
      </w:r>
      <w:r w:rsidRPr="00862601">
        <w:rPr>
          <w:spacing w:val="-4"/>
        </w:rPr>
        <w:t xml:space="preserve">community </w:t>
      </w:r>
      <w:r w:rsidRPr="00862601">
        <w:rPr>
          <w:spacing w:val="-3"/>
        </w:rPr>
        <w:t xml:space="preserve">services industry </w:t>
      </w:r>
      <w:r w:rsidRPr="00862601">
        <w:t xml:space="preserve">to </w:t>
      </w:r>
      <w:r w:rsidRPr="00862601">
        <w:rPr>
          <w:spacing w:val="-3"/>
        </w:rPr>
        <w:t xml:space="preserve">champion </w:t>
      </w:r>
      <w:r w:rsidRPr="00862601">
        <w:t xml:space="preserve">a </w:t>
      </w:r>
      <w:r w:rsidRPr="00862601">
        <w:rPr>
          <w:spacing w:val="-4"/>
        </w:rPr>
        <w:t>future-</w:t>
      </w:r>
      <w:r w:rsidR="00F8364B" w:rsidRPr="00862601">
        <w:rPr>
          <w:spacing w:val="-4"/>
        </w:rPr>
        <w:t>focused</w:t>
      </w:r>
      <w:r w:rsidRPr="00862601">
        <w:rPr>
          <w:spacing w:val="-4"/>
        </w:rPr>
        <w:t xml:space="preserve"> </w:t>
      </w:r>
      <w:r w:rsidRPr="00862601">
        <w:rPr>
          <w:spacing w:val="-3"/>
        </w:rPr>
        <w:t xml:space="preserve">strategy that will enable </w:t>
      </w:r>
      <w:r w:rsidRPr="00862601">
        <w:rPr>
          <w:spacing w:val="-4"/>
        </w:rPr>
        <w:t xml:space="preserve">system-wide transformative </w:t>
      </w:r>
      <w:r w:rsidRPr="00862601">
        <w:rPr>
          <w:spacing w:val="-3"/>
        </w:rPr>
        <w:t>changes</w:t>
      </w:r>
      <w:r w:rsidR="00641AFA" w:rsidRPr="00862601">
        <w:rPr>
          <w:spacing w:val="-3"/>
        </w:rPr>
        <w:t>,</w:t>
      </w:r>
      <w:r w:rsidRPr="00862601">
        <w:rPr>
          <w:spacing w:val="-3"/>
        </w:rPr>
        <w:t xml:space="preserve"> and </w:t>
      </w:r>
      <w:r w:rsidRPr="00862601">
        <w:rPr>
          <w:spacing w:val="-4"/>
        </w:rPr>
        <w:t xml:space="preserve">position </w:t>
      </w:r>
      <w:r w:rsidRPr="00862601">
        <w:rPr>
          <w:spacing w:val="-3"/>
        </w:rPr>
        <w:t xml:space="preserve">the </w:t>
      </w:r>
      <w:r w:rsidRPr="00862601">
        <w:rPr>
          <w:spacing w:val="-4"/>
        </w:rPr>
        <w:t xml:space="preserve">industry </w:t>
      </w:r>
      <w:r w:rsidRPr="00862601">
        <w:rPr>
          <w:spacing w:val="-3"/>
        </w:rPr>
        <w:t xml:space="preserve">for </w:t>
      </w:r>
      <w:r w:rsidRPr="00862601">
        <w:rPr>
          <w:spacing w:val="-4"/>
        </w:rPr>
        <w:t xml:space="preserve">long-term success </w:t>
      </w:r>
      <w:r w:rsidRPr="00862601">
        <w:t xml:space="preserve">in </w:t>
      </w:r>
      <w:r w:rsidRPr="00862601">
        <w:rPr>
          <w:spacing w:val="-3"/>
        </w:rPr>
        <w:t xml:space="preserve">order </w:t>
      </w:r>
      <w:r w:rsidRPr="00862601">
        <w:t xml:space="preserve">to </w:t>
      </w:r>
      <w:r w:rsidRPr="00862601">
        <w:rPr>
          <w:spacing w:val="-3"/>
        </w:rPr>
        <w:t xml:space="preserve">positively impact </w:t>
      </w:r>
      <w:r w:rsidRPr="00862601">
        <w:t xml:space="preserve">the </w:t>
      </w:r>
      <w:r w:rsidRPr="00862601">
        <w:rPr>
          <w:spacing w:val="-3"/>
        </w:rPr>
        <w:t xml:space="preserve">future </w:t>
      </w:r>
      <w:r w:rsidRPr="00862601">
        <w:t xml:space="preserve">of </w:t>
      </w:r>
      <w:r w:rsidRPr="00862601">
        <w:rPr>
          <w:spacing w:val="-4"/>
        </w:rPr>
        <w:t xml:space="preserve">Queenslanders experiencing vulnerabilities, </w:t>
      </w:r>
      <w:r w:rsidRPr="00862601">
        <w:rPr>
          <w:spacing w:val="-3"/>
        </w:rPr>
        <w:t>the industry and the</w:t>
      </w:r>
      <w:r w:rsidRPr="00862601">
        <w:t xml:space="preserve"> </w:t>
      </w:r>
      <w:r w:rsidRPr="00862601">
        <w:rPr>
          <w:spacing w:val="-3"/>
        </w:rPr>
        <w:t>economy.</w:t>
      </w:r>
    </w:p>
    <w:p w14:paraId="2520B291" w14:textId="77777777" w:rsidR="00E26DA3" w:rsidRPr="00862601" w:rsidRDefault="00C61D57" w:rsidP="00FF32D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862601">
        <w:t xml:space="preserve">A staged approach is being used to implement the Strategy. </w:t>
      </w:r>
      <w:r w:rsidR="00E26DA3" w:rsidRPr="00862601">
        <w:t xml:space="preserve">Based on consultation, industry and government have together considered a </w:t>
      </w:r>
      <w:r w:rsidR="00C156E6" w:rsidRPr="00862601">
        <w:t>focused</w:t>
      </w:r>
      <w:r w:rsidR="00E26DA3" w:rsidRPr="00862601">
        <w:t xml:space="preserve"> and define</w:t>
      </w:r>
      <w:r w:rsidR="009946E7" w:rsidRPr="00862601">
        <w:t>d</w:t>
      </w:r>
      <w:r w:rsidR="00E26DA3" w:rsidRPr="00862601">
        <w:t xml:space="preserve"> set of actions for the </w:t>
      </w:r>
      <w:r w:rsidRPr="00862601">
        <w:rPr>
          <w:i/>
        </w:rPr>
        <w:t xml:space="preserve">Action </w:t>
      </w:r>
      <w:r w:rsidR="008B3D43" w:rsidRPr="00862601">
        <w:rPr>
          <w:i/>
        </w:rPr>
        <w:t>p</w:t>
      </w:r>
      <w:r w:rsidRPr="00862601">
        <w:rPr>
          <w:i/>
        </w:rPr>
        <w:t>lan 2017-18</w:t>
      </w:r>
      <w:r w:rsidR="00E26DA3" w:rsidRPr="00862601">
        <w:t>. These actions are clustered against the four key focus areas of the Strategy.</w:t>
      </w:r>
    </w:p>
    <w:p w14:paraId="726F2F60" w14:textId="77777777" w:rsidR="00707E53" w:rsidRPr="00862601" w:rsidRDefault="009C2983" w:rsidP="00FF32D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862601">
        <w:rPr>
          <w:spacing w:val="-3"/>
          <w:u w:val="single"/>
        </w:rPr>
        <w:t xml:space="preserve">Cabinet </w:t>
      </w:r>
      <w:r w:rsidR="00612950" w:rsidRPr="00862601">
        <w:rPr>
          <w:spacing w:val="-3"/>
          <w:u w:val="single"/>
        </w:rPr>
        <w:t>approved</w:t>
      </w:r>
      <w:r w:rsidR="00612950" w:rsidRPr="00862601">
        <w:rPr>
          <w:spacing w:val="-3"/>
        </w:rPr>
        <w:t xml:space="preserve"> </w:t>
      </w:r>
      <w:r w:rsidRPr="00862601">
        <w:rPr>
          <w:spacing w:val="-3"/>
        </w:rPr>
        <w:t xml:space="preserve">the public release </w:t>
      </w:r>
      <w:r w:rsidRPr="00862601">
        <w:t xml:space="preserve">of </w:t>
      </w:r>
      <w:r w:rsidRPr="00862601">
        <w:rPr>
          <w:i/>
          <w:spacing w:val="-4"/>
        </w:rPr>
        <w:t xml:space="preserve">Partnering </w:t>
      </w:r>
      <w:r w:rsidRPr="00862601">
        <w:rPr>
          <w:i/>
          <w:spacing w:val="-3"/>
        </w:rPr>
        <w:t xml:space="preserve">for the future: Advancing </w:t>
      </w:r>
      <w:r w:rsidRPr="00862601">
        <w:rPr>
          <w:i/>
          <w:spacing w:val="-4"/>
        </w:rPr>
        <w:t xml:space="preserve">Queensland’s </w:t>
      </w:r>
      <w:r w:rsidRPr="00862601">
        <w:rPr>
          <w:i/>
          <w:spacing w:val="-3"/>
        </w:rPr>
        <w:t>community services industry</w:t>
      </w:r>
      <w:r w:rsidRPr="00862601">
        <w:rPr>
          <w:i/>
          <w:spacing w:val="-7"/>
        </w:rPr>
        <w:t xml:space="preserve"> </w:t>
      </w:r>
      <w:r w:rsidRPr="00862601">
        <w:rPr>
          <w:i/>
          <w:spacing w:val="-3"/>
        </w:rPr>
        <w:t>2017-25</w:t>
      </w:r>
      <w:r w:rsidR="00612950" w:rsidRPr="00862601">
        <w:rPr>
          <w:spacing w:val="-3"/>
        </w:rPr>
        <w:t xml:space="preserve"> and the </w:t>
      </w:r>
      <w:r w:rsidR="00612950" w:rsidRPr="00862601">
        <w:rPr>
          <w:i/>
          <w:spacing w:val="-3"/>
        </w:rPr>
        <w:t xml:space="preserve">Action </w:t>
      </w:r>
      <w:r w:rsidR="008B3D43" w:rsidRPr="00862601">
        <w:rPr>
          <w:i/>
          <w:spacing w:val="-3"/>
        </w:rPr>
        <w:t>p</w:t>
      </w:r>
      <w:r w:rsidR="00612950" w:rsidRPr="00862601">
        <w:rPr>
          <w:i/>
          <w:spacing w:val="-3"/>
        </w:rPr>
        <w:t>lan 2017-18</w:t>
      </w:r>
      <w:r w:rsidRPr="00862601">
        <w:rPr>
          <w:spacing w:val="-3"/>
        </w:rPr>
        <w:t>.</w:t>
      </w:r>
    </w:p>
    <w:p w14:paraId="2E7979C0" w14:textId="77777777" w:rsidR="00707E53" w:rsidRPr="00862601" w:rsidRDefault="009C2983" w:rsidP="00FF32D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 w:rsidRPr="00862601">
        <w:rPr>
          <w:i/>
          <w:u w:val="single"/>
        </w:rPr>
        <w:t>Attachment</w:t>
      </w:r>
      <w:r w:rsidR="001C452A">
        <w:rPr>
          <w:i/>
          <w:u w:val="single"/>
        </w:rPr>
        <w:t>s</w:t>
      </w:r>
    </w:p>
    <w:p w14:paraId="0540889B" w14:textId="77777777" w:rsidR="00707E53" w:rsidRPr="00FF32D0" w:rsidRDefault="004C55F3" w:rsidP="00FF32D0">
      <w:pPr>
        <w:pStyle w:val="ListParagraph"/>
        <w:numPr>
          <w:ilvl w:val="0"/>
          <w:numId w:val="2"/>
        </w:numPr>
        <w:tabs>
          <w:tab w:val="left" w:pos="426"/>
          <w:tab w:val="left" w:pos="1151"/>
          <w:tab w:val="left" w:pos="1152"/>
        </w:tabs>
        <w:spacing w:before="119"/>
        <w:rPr>
          <w:i/>
        </w:rPr>
      </w:pPr>
      <w:hyperlink r:id="rId7" w:history="1">
        <w:r w:rsidR="009C2983" w:rsidRPr="00B9023C">
          <w:rPr>
            <w:rStyle w:val="Hyperlink"/>
            <w:i/>
            <w:spacing w:val="-4"/>
          </w:rPr>
          <w:t xml:space="preserve">Partnering </w:t>
        </w:r>
        <w:r w:rsidR="009C2983" w:rsidRPr="00B9023C">
          <w:rPr>
            <w:rStyle w:val="Hyperlink"/>
            <w:i/>
            <w:spacing w:val="-3"/>
          </w:rPr>
          <w:t xml:space="preserve">for the </w:t>
        </w:r>
        <w:r w:rsidR="009C2983" w:rsidRPr="00B9023C">
          <w:rPr>
            <w:rStyle w:val="Hyperlink"/>
            <w:i/>
            <w:spacing w:val="-4"/>
          </w:rPr>
          <w:t xml:space="preserve">future: </w:t>
        </w:r>
        <w:r w:rsidR="009C2983" w:rsidRPr="00B9023C">
          <w:rPr>
            <w:rStyle w:val="Hyperlink"/>
            <w:i/>
            <w:spacing w:val="-3"/>
          </w:rPr>
          <w:t xml:space="preserve">Advancing </w:t>
        </w:r>
        <w:r w:rsidR="009C2983" w:rsidRPr="00B9023C">
          <w:rPr>
            <w:rStyle w:val="Hyperlink"/>
            <w:i/>
            <w:spacing w:val="-4"/>
          </w:rPr>
          <w:t xml:space="preserve">Queensland’s community </w:t>
        </w:r>
        <w:r w:rsidR="009C2983" w:rsidRPr="00B9023C">
          <w:rPr>
            <w:rStyle w:val="Hyperlink"/>
            <w:i/>
            <w:spacing w:val="-3"/>
          </w:rPr>
          <w:t xml:space="preserve">services </w:t>
        </w:r>
        <w:r w:rsidR="009C2983" w:rsidRPr="00B9023C">
          <w:rPr>
            <w:rStyle w:val="Hyperlink"/>
            <w:i/>
            <w:spacing w:val="-4"/>
          </w:rPr>
          <w:t>industry</w:t>
        </w:r>
        <w:r w:rsidR="009C2983" w:rsidRPr="00B9023C">
          <w:rPr>
            <w:rStyle w:val="Hyperlink"/>
            <w:i/>
          </w:rPr>
          <w:t xml:space="preserve"> </w:t>
        </w:r>
        <w:r w:rsidR="009C2983" w:rsidRPr="00B9023C">
          <w:rPr>
            <w:rStyle w:val="Hyperlink"/>
            <w:i/>
            <w:spacing w:val="-4"/>
          </w:rPr>
          <w:t>2017-25</w:t>
        </w:r>
      </w:hyperlink>
    </w:p>
    <w:p w14:paraId="17C54B39" w14:textId="77777777" w:rsidR="00612950" w:rsidRPr="00FF32D0" w:rsidRDefault="004C55F3" w:rsidP="00FF32D0">
      <w:pPr>
        <w:pStyle w:val="ListParagraph"/>
        <w:numPr>
          <w:ilvl w:val="0"/>
          <w:numId w:val="2"/>
        </w:numPr>
        <w:tabs>
          <w:tab w:val="left" w:pos="426"/>
          <w:tab w:val="left" w:pos="1151"/>
          <w:tab w:val="left" w:pos="1152"/>
        </w:tabs>
        <w:spacing w:before="119"/>
        <w:rPr>
          <w:i/>
        </w:rPr>
      </w:pPr>
      <w:hyperlink r:id="rId8" w:history="1">
        <w:r w:rsidR="00612950" w:rsidRPr="00B9023C">
          <w:rPr>
            <w:rStyle w:val="Hyperlink"/>
            <w:i/>
            <w:spacing w:val="-4"/>
          </w:rPr>
          <w:t xml:space="preserve">Action </w:t>
        </w:r>
        <w:r w:rsidR="008B3D43" w:rsidRPr="00B9023C">
          <w:rPr>
            <w:rStyle w:val="Hyperlink"/>
            <w:i/>
            <w:spacing w:val="-4"/>
          </w:rPr>
          <w:t>p</w:t>
        </w:r>
        <w:r w:rsidR="00612950" w:rsidRPr="00B9023C">
          <w:rPr>
            <w:rStyle w:val="Hyperlink"/>
            <w:i/>
            <w:spacing w:val="-4"/>
          </w:rPr>
          <w:t>lan 2017-18</w:t>
        </w:r>
      </w:hyperlink>
    </w:p>
    <w:sectPr w:rsidR="00612950" w:rsidRPr="00FF32D0" w:rsidSect="00862601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2247" w14:textId="77777777" w:rsidR="004464C3" w:rsidRDefault="004464C3" w:rsidP="00862601">
      <w:r>
        <w:separator/>
      </w:r>
    </w:p>
  </w:endnote>
  <w:endnote w:type="continuationSeparator" w:id="0">
    <w:p w14:paraId="7076FFBC" w14:textId="77777777" w:rsidR="004464C3" w:rsidRDefault="004464C3" w:rsidP="0086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83EE" w14:textId="77777777" w:rsidR="004464C3" w:rsidRDefault="004464C3" w:rsidP="00862601">
      <w:r>
        <w:separator/>
      </w:r>
    </w:p>
  </w:footnote>
  <w:footnote w:type="continuationSeparator" w:id="0">
    <w:p w14:paraId="47AFC3F0" w14:textId="77777777" w:rsidR="004464C3" w:rsidRDefault="004464C3" w:rsidP="0086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F0EF" w14:textId="77777777" w:rsidR="00862601" w:rsidRPr="00937A4A" w:rsidRDefault="00862601" w:rsidP="008626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416FF27" w14:textId="77777777" w:rsidR="00862601" w:rsidRPr="00937A4A" w:rsidRDefault="00862601" w:rsidP="008626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1475E99" w14:textId="77777777" w:rsidR="00862601" w:rsidRPr="00937A4A" w:rsidRDefault="00862601" w:rsidP="008626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2017</w:t>
    </w:r>
  </w:p>
  <w:p w14:paraId="1A04EEEC" w14:textId="77777777" w:rsidR="00862601" w:rsidRDefault="00862601" w:rsidP="00862601">
    <w:pPr>
      <w:pStyle w:val="Header"/>
      <w:spacing w:before="120"/>
      <w:rPr>
        <w:b/>
        <w:u w:val="single"/>
      </w:rPr>
    </w:pPr>
    <w:r>
      <w:rPr>
        <w:b/>
        <w:u w:val="single"/>
      </w:rPr>
      <w:t>Partnering for the future: Advancing Queensland’s community services industry 2017-25</w:t>
    </w:r>
  </w:p>
  <w:p w14:paraId="4A4E9752" w14:textId="77777777" w:rsidR="00862601" w:rsidRDefault="00862601" w:rsidP="00862601">
    <w:pPr>
      <w:pStyle w:val="Header"/>
      <w:spacing w:before="120"/>
      <w:rPr>
        <w:b/>
        <w:u w:val="single"/>
      </w:rPr>
    </w:pPr>
    <w:r>
      <w:rPr>
        <w:b/>
        <w:u w:val="single"/>
      </w:rPr>
      <w:t>Minister for Communities, Women and Youth, Minister for Child Safety and Minister for the Prevention of Domestic and Family Violence</w:t>
    </w:r>
  </w:p>
  <w:p w14:paraId="440FF87C" w14:textId="77777777" w:rsidR="00862601" w:rsidRDefault="00862601" w:rsidP="0086260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C6196"/>
    <w:multiLevelType w:val="hybridMultilevel"/>
    <w:tmpl w:val="147E7E6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5F31D60"/>
    <w:multiLevelType w:val="hybridMultilevel"/>
    <w:tmpl w:val="5D920D38"/>
    <w:lvl w:ilvl="0" w:tplc="84682130">
      <w:start w:val="1"/>
      <w:numFmt w:val="decimal"/>
      <w:lvlText w:val="%1."/>
      <w:lvlJc w:val="left"/>
      <w:pPr>
        <w:ind w:left="700" w:hanging="361"/>
        <w:jc w:val="left"/>
      </w:pPr>
      <w:rPr>
        <w:rFonts w:ascii="Arial" w:eastAsia="Arial" w:hAnsi="Arial" w:cs="Arial" w:hint="default"/>
        <w:i w:val="0"/>
        <w:spacing w:val="-4"/>
        <w:w w:val="99"/>
        <w:sz w:val="22"/>
        <w:szCs w:val="22"/>
      </w:rPr>
    </w:lvl>
    <w:lvl w:ilvl="1" w:tplc="0F0CBE30">
      <w:numFmt w:val="bullet"/>
      <w:lvlText w:val=""/>
      <w:lvlJc w:val="left"/>
      <w:pPr>
        <w:ind w:left="1151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E4F41842">
      <w:numFmt w:val="bullet"/>
      <w:lvlText w:val="•"/>
      <w:lvlJc w:val="left"/>
      <w:pPr>
        <w:ind w:left="2142" w:hanging="454"/>
      </w:pPr>
      <w:rPr>
        <w:rFonts w:hint="default"/>
      </w:rPr>
    </w:lvl>
    <w:lvl w:ilvl="3" w:tplc="FE40889E">
      <w:numFmt w:val="bullet"/>
      <w:lvlText w:val="•"/>
      <w:lvlJc w:val="left"/>
      <w:pPr>
        <w:ind w:left="3125" w:hanging="454"/>
      </w:pPr>
      <w:rPr>
        <w:rFonts w:hint="default"/>
      </w:rPr>
    </w:lvl>
    <w:lvl w:ilvl="4" w:tplc="BA8866E8">
      <w:numFmt w:val="bullet"/>
      <w:lvlText w:val="•"/>
      <w:lvlJc w:val="left"/>
      <w:pPr>
        <w:ind w:left="4108" w:hanging="454"/>
      </w:pPr>
      <w:rPr>
        <w:rFonts w:hint="default"/>
      </w:rPr>
    </w:lvl>
    <w:lvl w:ilvl="5" w:tplc="72B892BA">
      <w:numFmt w:val="bullet"/>
      <w:lvlText w:val="•"/>
      <w:lvlJc w:val="left"/>
      <w:pPr>
        <w:ind w:left="5090" w:hanging="454"/>
      </w:pPr>
      <w:rPr>
        <w:rFonts w:hint="default"/>
      </w:rPr>
    </w:lvl>
    <w:lvl w:ilvl="6" w:tplc="544A257E">
      <w:numFmt w:val="bullet"/>
      <w:lvlText w:val="•"/>
      <w:lvlJc w:val="left"/>
      <w:pPr>
        <w:ind w:left="6073" w:hanging="454"/>
      </w:pPr>
      <w:rPr>
        <w:rFonts w:hint="default"/>
      </w:rPr>
    </w:lvl>
    <w:lvl w:ilvl="7" w:tplc="B974446E">
      <w:numFmt w:val="bullet"/>
      <w:lvlText w:val="•"/>
      <w:lvlJc w:val="left"/>
      <w:pPr>
        <w:ind w:left="7056" w:hanging="454"/>
      </w:pPr>
      <w:rPr>
        <w:rFonts w:hint="default"/>
      </w:rPr>
    </w:lvl>
    <w:lvl w:ilvl="8" w:tplc="AE626E46">
      <w:numFmt w:val="bullet"/>
      <w:lvlText w:val="•"/>
      <w:lvlJc w:val="left"/>
      <w:pPr>
        <w:ind w:left="8038" w:hanging="4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53"/>
    <w:rsid w:val="001C452A"/>
    <w:rsid w:val="002770E0"/>
    <w:rsid w:val="004464C3"/>
    <w:rsid w:val="004C55F3"/>
    <w:rsid w:val="00612950"/>
    <w:rsid w:val="00641AFA"/>
    <w:rsid w:val="00693FC9"/>
    <w:rsid w:val="006D1664"/>
    <w:rsid w:val="00707E53"/>
    <w:rsid w:val="00812EB5"/>
    <w:rsid w:val="00845F4C"/>
    <w:rsid w:val="00862601"/>
    <w:rsid w:val="008B3D43"/>
    <w:rsid w:val="00946B6E"/>
    <w:rsid w:val="009946E7"/>
    <w:rsid w:val="009C2983"/>
    <w:rsid w:val="00A90191"/>
    <w:rsid w:val="00B04680"/>
    <w:rsid w:val="00B9023C"/>
    <w:rsid w:val="00C156E6"/>
    <w:rsid w:val="00C61D57"/>
    <w:rsid w:val="00C71603"/>
    <w:rsid w:val="00D2429F"/>
    <w:rsid w:val="00DD0C5A"/>
    <w:rsid w:val="00E26DA3"/>
    <w:rsid w:val="00E5273B"/>
    <w:rsid w:val="00F8364B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F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50" w:right="305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8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1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57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2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0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1368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Attachment_7_PFTF_Proactive Release.docx</vt:lpstr>
    </vt:vector>
  </TitlesOfParts>
  <Company/>
  <LinksUpToDate>false</LinksUpToDate>
  <CharactersWithSpaces>1588</CharactersWithSpaces>
  <SharedDoc>false</SharedDoc>
  <HyperlinkBase>https://www.cabinet.qld.gov.au/documents/2017/May/PartFut/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2017-03-23T02:09:00Z</cp:lastPrinted>
  <dcterms:created xsi:type="dcterms:W3CDTF">2018-02-16T06:40:00Z</dcterms:created>
  <dcterms:modified xsi:type="dcterms:W3CDTF">2018-06-11T04:06:00Z</dcterms:modified>
  <cp:category>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2017-02-17T00:00:00Z</vt:filetime>
  </property>
</Properties>
</file>